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bookmarkStart w:id="0" w:name="_Toc479271584"/>
      <w:bookmarkStart w:id="1" w:name="_Toc472428533"/>
      <w:bookmarkStart w:id="2" w:name="_Toc472429912"/>
      <w:r>
        <w:rPr>
          <w:rStyle w:val="Nadpis1Char"/>
          <w:color w:val="00000A"/>
        </w:rPr>
        <w:t>A.</w:t>
      </w:r>
      <w:r>
        <w:rPr>
          <w:color w:val="00000A"/>
        </w:rPr>
        <w:t xml:space="preserve"> </w:t>
      </w:r>
      <w:bookmarkEnd w:id="0"/>
      <w:bookmarkEnd w:id="1"/>
      <w:bookmarkEnd w:id="2"/>
      <w:r>
        <w:rPr>
          <w:rStyle w:val="Nadpis1Char"/>
          <w:color w:val="00000A"/>
        </w:rPr>
        <w:t>Průvodní zpráv</w:t>
      </w:r>
    </w:p>
    <w:sdt>
      <w:sdtPr>
        <w:docPartObj>
          <w:docPartGallery w:val="Table of Contents"/>
          <w:docPartUnique w:val="true"/>
        </w:docPartObj>
        <w:id w:val="1522037374"/>
      </w:sdtPr>
      <w:sdtContent>
        <w:p>
          <w:pPr>
            <w:pStyle w:val="Nadpisobsahu"/>
            <w:rPr/>
          </w:pPr>
          <w:r>
            <w:fldChar w:fldCharType="begin"/>
          </w:r>
          <w:r>
            <w:instrText> TOC \z \o "1-3" \u \h</w:instrText>
          </w:r>
          <w:r>
            <w:fldChar w:fldCharType="separate"/>
          </w:r>
          <w:r>
            <w:rPr/>
          </w:r>
          <w:r>
            <w:fldChar w:fldCharType="end"/>
          </w:r>
        </w:p>
        <w:p>
          <w:pPr>
            <w:pStyle w:val="Obsah1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84">
            <w:r>
              <w:rPr>
                <w:webHidden/>
                <w:rStyle w:val="Odkaznarejstk"/>
                <w:b/>
              </w:rPr>
              <w:t>A.</w:t>
            </w:r>
            <w:r>
              <w:rPr>
                <w:rStyle w:val="Odkaznarejstk"/>
              </w:rPr>
              <w:t xml:space="preserve"> </w:t>
            </w:r>
            <w:r>
              <w:rPr>
                <w:rStyle w:val="Odkaznarejstk"/>
                <w:b/>
              </w:rPr>
              <w:t>Průvodní zpráva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_Toc479271584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85">
            <w:r>
              <w:rPr>
                <w:webHidden/>
                <w:rStyle w:val="Odkaznarejstk"/>
              </w:rPr>
              <w:t>A.1. Identifikační údaje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_Toc479271585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86">
            <w:r>
              <w:rPr>
                <w:webHidden/>
                <w:rStyle w:val="Odkaznarejstk"/>
              </w:rPr>
              <w:t>A.1.1. Údaje o stavbě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_Toc479271586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87">
            <w:r>
              <w:rPr>
                <w:webHidden/>
                <w:rStyle w:val="Odkaznarejstk"/>
              </w:rPr>
              <w:t>A.1.2. Předmět projektové dokumentace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_Toc479271587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88">
            <w:r>
              <w:rPr>
                <w:webHidden/>
                <w:rStyle w:val="Odkaznarejstk"/>
              </w:rPr>
              <w:t>A.1.3. Údaje o stavebníkovi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_Toc479271588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89">
            <w:r>
              <w:rPr>
                <w:webHidden/>
                <w:rStyle w:val="Odkaznarejstk"/>
              </w:rPr>
              <w:t>A.1.4. Údaje o zpracovateli dokumentace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_Toc479271589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90">
            <w:r>
              <w:rPr>
                <w:webHidden/>
                <w:rStyle w:val="Odkaznarejstk"/>
              </w:rPr>
              <w:t>A.2. Seznam vstupních podkladů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_Toc479271590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91">
            <w:r>
              <w:rPr>
                <w:webHidden/>
                <w:rStyle w:val="Odkaznarejstk"/>
              </w:rPr>
              <w:t>A.3. Údaje o území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_Toc479271591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92">
            <w:r>
              <w:rPr>
                <w:webHidden/>
                <w:rStyle w:val="Odkaznarejstk"/>
              </w:rPr>
              <w:t>A.4. Údaje o stavbě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_Toc479271592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Obsah2"/>
            <w:tabs>
              <w:tab w:val="right" w:pos="9062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  <w:lang w:eastAsia="cs-CZ"/>
            </w:rPr>
          </w:pPr>
          <w:hyperlink w:anchor="_Toc479271593">
            <w:r>
              <w:rPr>
                <w:webHidden/>
                <w:rStyle w:val="Odkaznarejstk"/>
              </w:rPr>
              <w:t>A.5. Členění stavby na objekty a technická a technologická zařízení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_Toc479271593 \h</w:instrText>
            </w:r>
            <w:r>
              <w:rPr>
                <w:webHidden/>
              </w:rPr>
              <w:fldChar w:fldCharType="separate"/>
            </w:r>
            <w:r>
              <w:rPr>
                <w:rStyle w:val="Odkaznarejstk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adpisobsahu"/>
            <w:rPr/>
          </w:pPr>
          <w:bookmarkStart w:id="3" w:name="_Toc472428687"/>
          <w:bookmarkStart w:id="4" w:name="_Toc472428687"/>
          <w:bookmarkEnd w:id="4"/>
          <w:r>
            <w:rPr/>
          </w:r>
        </w:p>
      </w:sdtContent>
    </w:sdt>
    <w:p>
      <w:pPr>
        <w:pStyle w:val="Normal"/>
        <w:jc w:val="both"/>
        <w:rPr/>
      </w:pPr>
      <w:r>
        <w:rPr/>
      </w:r>
      <w:r>
        <w:br w:type="page"/>
      </w:r>
    </w:p>
    <w:p>
      <w:pPr>
        <w:pStyle w:val="Nadpis2"/>
        <w:numPr>
          <w:ilvl w:val="1"/>
          <w:numId w:val="1"/>
        </w:numPr>
        <w:jc w:val="both"/>
        <w:rPr/>
      </w:pPr>
      <w:bookmarkStart w:id="5" w:name="_Toc479271585"/>
      <w:bookmarkEnd w:id="5"/>
      <w:r>
        <w:rPr/>
        <w:t>Identifikační údaje</w:t>
      </w:r>
    </w:p>
    <w:p>
      <w:pPr>
        <w:pStyle w:val="Nadpis2"/>
        <w:numPr>
          <w:ilvl w:val="2"/>
          <w:numId w:val="1"/>
        </w:numPr>
        <w:jc w:val="both"/>
        <w:rPr/>
      </w:pPr>
      <w:bookmarkStart w:id="6" w:name="_Toc479271586"/>
      <w:bookmarkEnd w:id="6"/>
      <w:r>
        <w:rPr/>
        <w:t>Údaje o stavbě</w:t>
      </w:r>
    </w:p>
    <w:p>
      <w:pPr>
        <w:pStyle w:val="Normal"/>
        <w:ind w:left="2832" w:hanging="1422"/>
        <w:rPr>
          <w:sz w:val="18"/>
          <w:szCs w:val="18"/>
        </w:rPr>
      </w:pPr>
      <w:r>
        <w:rPr/>
        <w:t>název stavby:</w:t>
        <w:tab/>
        <w:t>Zajištění bezbariérového přístupu + rekonstrukce učeben v budově obchodní akademie v Plzni</w:t>
      </w:r>
    </w:p>
    <w:p>
      <w:pPr>
        <w:pStyle w:val="Normal"/>
        <w:ind w:left="708" w:firstLine="708"/>
        <w:jc w:val="both"/>
        <w:rPr/>
      </w:pPr>
      <w:r>
        <w:rPr/>
        <w:t>místo stavby:</w:t>
        <w:tab/>
        <w:t>náměstí T. G. Masaryka 13, 301 00 Plzeň</w:t>
      </w:r>
    </w:p>
    <w:p>
      <w:pPr>
        <w:pStyle w:val="Normal"/>
        <w:ind w:left="2124" w:firstLine="708"/>
        <w:jc w:val="both"/>
        <w:rPr/>
      </w:pPr>
      <w:r>
        <w:rPr/>
        <w:t>parcelní číslo st. 6014/1</w:t>
      </w:r>
    </w:p>
    <w:p>
      <w:pPr>
        <w:pStyle w:val="Normal"/>
        <w:jc w:val="both"/>
        <w:rPr/>
      </w:pPr>
      <w:r>
        <w:rPr/>
        <w:tab/>
        <w:tab/>
        <w:tab/>
        <w:tab/>
        <w:t xml:space="preserve">katastrální území Plzeň </w:t>
      </w:r>
      <w:r>
        <w:rPr>
          <w:lang w:val="en-US"/>
        </w:rPr>
        <w:t>[721981]</w:t>
      </w:r>
    </w:p>
    <w:p>
      <w:pPr>
        <w:pStyle w:val="ListParagraph"/>
        <w:ind w:left="1440" w:hanging="0"/>
        <w:jc w:val="both"/>
        <w:rPr>
          <w:rFonts w:cs="Bookman Old Style"/>
          <w:szCs w:val="20"/>
        </w:rPr>
      </w:pPr>
      <w:r>
        <w:rPr>
          <w:rFonts w:cs="Bookman Old Style"/>
          <w:szCs w:val="20"/>
        </w:rPr>
      </w:r>
    </w:p>
    <w:p>
      <w:pPr>
        <w:pStyle w:val="Nadpis2"/>
        <w:numPr>
          <w:ilvl w:val="2"/>
          <w:numId w:val="1"/>
        </w:numPr>
        <w:jc w:val="both"/>
        <w:rPr/>
      </w:pPr>
      <w:bookmarkStart w:id="7" w:name="_Toc479271587"/>
      <w:bookmarkEnd w:id="7"/>
      <w:r>
        <w:rPr/>
        <w:t>Předmět projektové dokumentace</w:t>
      </w:r>
    </w:p>
    <w:p>
      <w:pPr>
        <w:pStyle w:val="Normal"/>
        <w:ind w:left="708" w:firstLine="708"/>
        <w:jc w:val="both"/>
        <w:rPr/>
      </w:pPr>
      <w:r>
        <w:rPr/>
        <w:t>Novostavba – přístavba výtahové šachty</w:t>
      </w:r>
    </w:p>
    <w:p>
      <w:pPr>
        <w:pStyle w:val="Normal"/>
        <w:ind w:left="708" w:firstLine="708"/>
        <w:jc w:val="both"/>
        <w:rPr/>
      </w:pPr>
      <w:r>
        <w:rPr/>
        <w:t>Stavební úpravy/rekonstrukce učeben a kabinetů nacházející se ve 4. NP a stavební úprava kabinetu nacházejícího se v 2. NP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adpis2"/>
        <w:numPr>
          <w:ilvl w:val="2"/>
          <w:numId w:val="1"/>
        </w:numPr>
        <w:jc w:val="both"/>
        <w:rPr/>
      </w:pPr>
      <w:bookmarkStart w:id="8" w:name="_Toc479271588"/>
      <w:bookmarkEnd w:id="8"/>
      <w:r>
        <w:rPr/>
        <w:t>Údaje o stavebníkovi</w:t>
      </w:r>
    </w:p>
    <w:p>
      <w:pPr>
        <w:pStyle w:val="Normal"/>
        <w:ind w:left="708" w:firstLine="708"/>
        <w:jc w:val="both"/>
        <w:rPr/>
      </w:pPr>
      <w:r>
        <w:rPr>
          <w:b/>
        </w:rPr>
        <w:t>Název</w:t>
        <w:tab/>
      </w:r>
      <w:r>
        <w:rPr/>
        <w:tab/>
        <w:tab/>
        <w:t>Obchodní akademie Plzeň</w:t>
      </w:r>
    </w:p>
    <w:p>
      <w:pPr>
        <w:pStyle w:val="Normal"/>
        <w:ind w:left="1416" w:hanging="0"/>
        <w:jc w:val="both"/>
        <w:rPr/>
      </w:pPr>
      <w:r>
        <w:rPr>
          <w:b/>
        </w:rPr>
        <w:t>Adresa sídla</w:t>
        <w:tab/>
      </w:r>
      <w:r>
        <w:rPr/>
        <w:tab/>
        <w:t>Náměstí T. G. Masaryka 13, 301 00 Plzeň</w:t>
      </w:r>
    </w:p>
    <w:p>
      <w:pPr>
        <w:pStyle w:val="Normal"/>
        <w:ind w:left="1416" w:hanging="0"/>
        <w:jc w:val="both"/>
        <w:rPr/>
      </w:pPr>
      <w:r>
        <w:rPr>
          <w:b/>
        </w:rPr>
        <w:t>IČ</w:t>
        <w:tab/>
        <w:tab/>
        <w:tab/>
      </w:r>
      <w:r>
        <w:rPr/>
        <w:t>49778161</w:t>
      </w:r>
    </w:p>
    <w:p>
      <w:pPr>
        <w:pStyle w:val="Normal"/>
        <w:ind w:left="1416" w:hanging="0"/>
        <w:jc w:val="both"/>
        <w:rPr/>
      </w:pPr>
      <w:r>
        <w:rPr>
          <w:b/>
        </w:rPr>
        <w:t>DIČ</w:t>
        <w:tab/>
        <w:tab/>
        <w:tab/>
      </w:r>
      <w:r>
        <w:rPr/>
        <w:t>CZ49778161</w:t>
      </w:r>
    </w:p>
    <w:p>
      <w:pPr>
        <w:pStyle w:val="Normal"/>
        <w:ind w:firstLine="708"/>
        <w:jc w:val="both"/>
        <w:rPr/>
      </w:pPr>
      <w:r>
        <w:rPr/>
        <w:tab/>
      </w:r>
    </w:p>
    <w:p>
      <w:pPr>
        <w:pStyle w:val="Nadpis2"/>
        <w:numPr>
          <w:ilvl w:val="2"/>
          <w:numId w:val="1"/>
        </w:numPr>
        <w:jc w:val="both"/>
        <w:rPr/>
      </w:pPr>
      <w:bookmarkStart w:id="9" w:name="_Toc479271589"/>
      <w:bookmarkEnd w:id="9"/>
      <w:r>
        <w:rPr/>
        <w:t>Údaje o zpracovateli dokumentace</w:t>
      </w:r>
    </w:p>
    <w:p>
      <w:pPr>
        <w:pStyle w:val="ListParagraph"/>
        <w:numPr>
          <w:ilvl w:val="0"/>
          <w:numId w:val="2"/>
        </w:numPr>
        <w:jc w:val="both"/>
        <w:rPr>
          <w:rStyle w:val="Promnn"/>
          <w:b/>
          <w:b/>
        </w:rPr>
      </w:pPr>
      <w:r>
        <w:rPr>
          <w:b/>
          <w:bCs/>
        </w:rPr>
        <w:t>jméno, příjmení, obchodní firma, IČ, místo podnikání</w:t>
      </w:r>
      <w:r>
        <w:rPr/>
        <w:t xml:space="preserve"> </w:t>
      </w:r>
      <w:r>
        <w:rPr>
          <w:b/>
        </w:rPr>
        <w:t>(fyzická osoba podnikající)</w:t>
      </w:r>
    </w:p>
    <w:p>
      <w:pPr>
        <w:pStyle w:val="Normal"/>
        <w:ind w:left="503" w:firstLine="708"/>
        <w:jc w:val="both"/>
        <w:rPr/>
      </w:pPr>
      <w:r>
        <w:rPr/>
        <w:t>ENPROBE, s.r.o., K Bukovci 214/80, 312 00 Plzeň</w:t>
      </w:r>
    </w:p>
    <w:p>
      <w:pPr>
        <w:pStyle w:val="Normal"/>
        <w:ind w:left="503" w:firstLine="708"/>
        <w:jc w:val="both"/>
        <w:rPr>
          <w:bCs/>
        </w:rPr>
      </w:pPr>
      <w:r>
        <w:rPr/>
        <w:t xml:space="preserve">IČO: </w:t>
      </w:r>
      <w:r>
        <w:rPr>
          <w:bCs/>
        </w:rPr>
        <w:t>03370241</w:t>
      </w:r>
    </w:p>
    <w:p>
      <w:pPr>
        <w:pStyle w:val="Normal"/>
        <w:ind w:left="503" w:firstLine="708"/>
        <w:jc w:val="both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2"/>
        </w:numPr>
        <w:jc w:val="both"/>
        <w:rPr>
          <w:rStyle w:val="Promnn"/>
          <w:b/>
          <w:b/>
        </w:rPr>
      </w:pPr>
      <w:r>
        <w:rPr>
          <w:b/>
          <w:bCs/>
        </w:rPr>
        <w:t>jméno a příjmení hlavního projektanta</w:t>
      </w:r>
      <w:r>
        <w:rPr>
          <w:b/>
        </w:rPr>
        <w:t xml:space="preserve"> vč. ČKAIT</w:t>
      </w:r>
    </w:p>
    <w:p>
      <w:pPr>
        <w:pStyle w:val="Normal"/>
        <w:ind w:left="503" w:firstLine="708"/>
        <w:jc w:val="both"/>
        <w:rPr>
          <w:rStyle w:val="Promnn"/>
          <w:i w:val="false"/>
          <w:i w:val="false"/>
        </w:rPr>
      </w:pPr>
      <w:r>
        <w:rPr>
          <w:rStyle w:val="Promnn"/>
          <w:i w:val="false"/>
        </w:rPr>
        <w:t>Ing Václav Šístek, ČKAIT 0201984</w:t>
      </w:r>
    </w:p>
    <w:p>
      <w:pPr>
        <w:pStyle w:val="Normal"/>
        <w:ind w:left="503" w:firstLine="708"/>
        <w:jc w:val="both"/>
        <w:rPr>
          <w:rStyle w:val="Promnn"/>
          <w:i w:val="false"/>
          <w:i w:val="false"/>
        </w:rPr>
      </w:pPr>
      <w:r>
        <w:rPr>
          <w:rStyle w:val="Promnn"/>
          <w:i w:val="false"/>
        </w:rPr>
        <w:t>autorizovaný inženýr pro pozemní stavby</w:t>
      </w:r>
    </w:p>
    <w:p>
      <w:pPr>
        <w:pStyle w:val="Normal"/>
        <w:ind w:left="503" w:firstLine="708"/>
        <w:jc w:val="both"/>
        <w:rPr>
          <w:rStyle w:val="Promnn"/>
          <w:i w:val="false"/>
          <w:i w:val="false"/>
        </w:rPr>
      </w:pPr>
      <w:r>
        <w:rPr>
          <w:i w:val="false"/>
        </w:rPr>
      </w:r>
    </w:p>
    <w:p>
      <w:pPr>
        <w:pStyle w:val="ListParagraph"/>
        <w:numPr>
          <w:ilvl w:val="0"/>
          <w:numId w:val="2"/>
        </w:numPr>
        <w:jc w:val="both"/>
        <w:rPr/>
      </w:pPr>
      <w:r>
        <w:rPr>
          <w:b/>
          <w:bCs/>
        </w:rPr>
        <w:t>jména a příjmení projektantů jednotlivých částí projektové dokumentace</w:t>
      </w:r>
      <w:r>
        <w:rPr/>
        <w:t xml:space="preserve"> </w:t>
      </w:r>
      <w:r>
        <w:rPr>
          <w:b/>
        </w:rPr>
        <w:t>vč. ČKAIT</w:t>
      </w:r>
      <w:r>
        <w:rPr/>
        <w:t xml:space="preserve"> </w:t>
      </w:r>
    </w:p>
    <w:p>
      <w:pPr>
        <w:pStyle w:val="ListParagraph"/>
        <w:ind w:left="1211" w:hanging="0"/>
        <w:jc w:val="both"/>
        <w:rPr>
          <w:bCs/>
        </w:rPr>
      </w:pPr>
      <w:r>
        <w:rPr>
          <w:bCs/>
        </w:rPr>
        <w:t>Ing. Renata B</w:t>
      </w:r>
      <w:r>
        <w:rPr>
          <w:rFonts w:cs="Calibri" w:ascii="Calibri" w:hAnsi="Calibri"/>
          <w:bCs/>
        </w:rPr>
        <w:t>ö</w:t>
      </w:r>
      <w:r>
        <w:rPr>
          <w:bCs/>
        </w:rPr>
        <w:t>hmová</w:t>
        <w:tab/>
        <w:t xml:space="preserve"> ČKAIT 0202168</w:t>
        <w:tab/>
        <w:tab/>
        <w:t>autorizovaný inženýr pro pozemní stavby</w:t>
      </w:r>
    </w:p>
    <w:p>
      <w:pPr>
        <w:pStyle w:val="Normal"/>
        <w:ind w:left="503" w:firstLine="708"/>
        <w:jc w:val="both"/>
        <w:rPr/>
      </w:pPr>
      <w:r>
        <w:rPr>
          <w:bCs/>
        </w:rPr>
        <w:t xml:space="preserve">Ing. </w:t>
      </w:r>
      <w:r>
        <w:rPr>
          <w:bCs/>
        </w:rPr>
        <w:t xml:space="preserve">Miroslav </w:t>
      </w:r>
      <w:r>
        <w:rPr>
          <w:bCs/>
        </w:rPr>
        <w:t>Př</w:t>
      </w:r>
      <w:r>
        <w:rPr>
          <w:bCs/>
        </w:rPr>
        <w:t>i</w:t>
      </w:r>
      <w:r>
        <w:rPr>
          <w:bCs/>
        </w:rPr>
        <w:t>bek ČKAIT 0201</w:t>
      </w:r>
      <w:r>
        <w:rPr>
          <w:bCs/>
        </w:rPr>
        <w:t>940</w:t>
      </w:r>
      <w:r>
        <w:rPr>
          <w:bCs/>
        </w:rPr>
        <w:tab/>
        <w:tab/>
        <w:t xml:space="preserve">autorizovaný </w:t>
      </w:r>
      <w:r>
        <w:rPr>
          <w:bCs/>
        </w:rPr>
        <w:t>technik</w:t>
      </w:r>
      <w:r>
        <w:rPr>
          <w:bCs/>
        </w:rPr>
        <w:t xml:space="preserve"> pro požární bezpečnost staveb</w:t>
      </w:r>
    </w:p>
    <w:p>
      <w:pPr>
        <w:pStyle w:val="ListParagraph"/>
        <w:ind w:left="720" w:firstLine="491"/>
        <w:jc w:val="both"/>
        <w:rPr/>
      </w:pPr>
      <w:r>
        <w:rPr>
          <w:bCs/>
        </w:rPr>
        <w:t>Miroslav Pech ČKAIT 0201645</w:t>
        <w:tab/>
        <w:tab/>
        <w:tab/>
        <w:t>silnoproud + bleskosvody</w:t>
      </w:r>
    </w:p>
    <w:p>
      <w:pPr>
        <w:pStyle w:val="ListParagraph"/>
        <w:ind w:left="720" w:firstLine="491"/>
        <w:jc w:val="both"/>
        <w:rPr/>
      </w:pPr>
      <w:r>
        <w:rPr>
          <w:bCs/>
        </w:rPr>
        <w:t xml:space="preserve">Michal Schlaffer, </w:t>
      </w:r>
      <w:r>
        <w:rPr>
          <w:bCs/>
        </w:rPr>
        <w:t>Luděk Bláha</w:t>
      </w:r>
      <w:r>
        <w:rPr>
          <w:bCs/>
        </w:rPr>
        <w:t xml:space="preserve"> ČKAIT </w:t>
      </w:r>
      <w:r>
        <w:rPr>
          <w:bCs/>
        </w:rPr>
        <w:t>0201333</w:t>
      </w:r>
      <w:r>
        <w:rPr>
          <w:bCs/>
        </w:rPr>
        <w:tab/>
      </w:r>
      <w:bookmarkStart w:id="10" w:name="__DdeLink__788_611882462"/>
      <w:bookmarkEnd w:id="10"/>
      <w:r>
        <w:rPr>
          <w:bCs/>
        </w:rPr>
        <w:t>autorizovaný inženýr pro techniku prostředí staveb</w:t>
      </w:r>
    </w:p>
    <w:p>
      <w:pPr>
        <w:pStyle w:val="ListParagraph"/>
        <w:ind w:left="720" w:firstLine="491"/>
        <w:jc w:val="both"/>
        <w:rPr/>
      </w:pPr>
      <w:r>
        <w:rPr>
          <w:bCs/>
        </w:rPr>
        <w:t>Ing. Jan Vachulka, Ph.D ČKAIT 0201611</w:t>
        <w:tab/>
        <w:tab/>
        <w:t xml:space="preserve">autorizovaný inženýr pro statiku a dynamiku staveb, </w:t>
        <w:tab/>
        <w:tab/>
        <w:tab/>
        <w:tab/>
        <w:tab/>
        <w:tab/>
        <w:t>mosty, inž. Kce</w:t>
      </w:r>
    </w:p>
    <w:p>
      <w:pPr>
        <w:pStyle w:val="ListParagraph"/>
        <w:ind w:left="720" w:firstLine="491"/>
        <w:jc w:val="both"/>
        <w:rPr/>
      </w:pPr>
      <w:r>
        <w:rPr>
          <w:bCs/>
        </w:rPr>
        <w:t>Ing. Tomáš Knapp ČKAIT 0200224</w:t>
        <w:tab/>
        <w:tab/>
        <w:t>autorizovaný inženýr pro techniku prostředí staveb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adpis2"/>
        <w:numPr>
          <w:ilvl w:val="1"/>
          <w:numId w:val="1"/>
        </w:numPr>
        <w:jc w:val="both"/>
        <w:rPr/>
      </w:pPr>
      <w:bookmarkStart w:id="11" w:name="_Toc479271590"/>
      <w:bookmarkEnd w:id="11"/>
      <w:r>
        <w:rPr/>
        <w:t>Seznam vstupních podkladů</w:t>
      </w:r>
    </w:p>
    <w:p>
      <w:pPr>
        <w:pStyle w:val="Normal"/>
        <w:ind w:left="708" w:hanging="0"/>
        <w:jc w:val="both"/>
        <w:rPr/>
      </w:pPr>
      <w:r>
        <w:rPr/>
        <w:t>- výpis z katastru nemovitostí</w:t>
      </w:r>
    </w:p>
    <w:p>
      <w:pPr>
        <w:pStyle w:val="Normal"/>
        <w:ind w:left="708" w:hanging="0"/>
        <w:jc w:val="both"/>
        <w:rPr/>
      </w:pPr>
      <w:r>
        <w:rPr/>
        <w:t>- jednání a konzultace s investorem</w:t>
      </w:r>
    </w:p>
    <w:p>
      <w:pPr>
        <w:pStyle w:val="Normal"/>
        <w:ind w:left="708" w:hanging="0"/>
        <w:jc w:val="both"/>
        <w:rPr/>
      </w:pPr>
      <w:r>
        <w:rPr/>
        <w:t>- prohlídka a zaměření stávajícího objektu</w:t>
      </w:r>
    </w:p>
    <w:p>
      <w:pPr>
        <w:pStyle w:val="Normal"/>
        <w:ind w:left="708" w:hanging="0"/>
        <w:jc w:val="both"/>
        <w:rPr/>
      </w:pPr>
      <w:r>
        <w:rPr/>
        <w:t>- podklady o existenci stávajících inženýrských sítí, jejich technická dokumentace a možnosti napojení ověřené jejich správci</w:t>
      </w:r>
    </w:p>
    <w:p>
      <w:pPr>
        <w:pStyle w:val="Normal"/>
        <w:ind w:left="708" w:hanging="0"/>
        <w:jc w:val="both"/>
        <w:rPr/>
      </w:pPr>
      <w:r>
        <w:rPr/>
        <w:t>- technická dokumentace jednotlivých správců inženýrských sítí</w:t>
      </w:r>
    </w:p>
    <w:p>
      <w:pPr>
        <w:pStyle w:val="Normal"/>
        <w:ind w:left="708" w:hanging="0"/>
        <w:jc w:val="both"/>
        <w:rPr/>
      </w:pPr>
      <w:r>
        <w:rPr/>
        <w:t>- stavba se dle dostupných údajů nenachází na poddolovaném území</w:t>
      </w:r>
    </w:p>
    <w:p>
      <w:pPr>
        <w:pStyle w:val="Normal"/>
        <w:jc w:val="both"/>
        <w:rPr/>
      </w:pPr>
      <w:r>
        <w:rPr/>
      </w:r>
    </w:p>
    <w:p>
      <w:pPr>
        <w:pStyle w:val="Nadpis2"/>
        <w:numPr>
          <w:ilvl w:val="1"/>
          <w:numId w:val="1"/>
        </w:numPr>
        <w:rPr/>
      </w:pPr>
      <w:bookmarkStart w:id="12" w:name="_Toc479271591"/>
      <w:bookmarkEnd w:id="12"/>
      <w:r>
        <w:rPr/>
        <w:t>Údaje o území</w:t>
      </w:r>
    </w:p>
    <w:p>
      <w:pPr>
        <w:pStyle w:val="ListParagraph"/>
        <w:numPr>
          <w:ilvl w:val="0"/>
          <w:numId w:val="3"/>
        </w:numPr>
        <w:rPr>
          <w:b/>
          <w:b/>
        </w:rPr>
      </w:pPr>
      <w:r>
        <w:rPr>
          <w:b/>
        </w:rPr>
        <w:t>rozsah řešeného území</w:t>
      </w:r>
    </w:p>
    <w:p>
      <w:pPr>
        <w:pStyle w:val="Normal"/>
        <w:ind w:left="708" w:hanging="0"/>
        <w:jc w:val="both"/>
        <w:rPr/>
      </w:pPr>
      <w:r>
        <w:rPr/>
        <w:t xml:space="preserve">Projekt řeší přístavbu výtahu k objektu obchodní akademie Plzeň na nám. T. G. Masaryka v Plzni. Cílem návrhu je zajištění bezbariérovosti do všech podlaží. Přístavba je navržena na severní fasádě školy, směrem ze dvora. Přístavba je navržena na pozemku náležící k obchodní akademii. Místo přístavby je nezastavěné, jedná se o zpevněnou část dvora. </w:t>
      </w:r>
    </w:p>
    <w:p>
      <w:pPr>
        <w:pStyle w:val="ListParagraph"/>
        <w:rPr/>
      </w:pPr>
      <w:r>
        <w:rPr/>
        <w:t>V rámci této projektové dokumentace jsou dále navrženy úpravy/rekonstrukce a modernizace tří učeben a několika kabinetů. Dále je navržena nová toaleta pro osoby se sníženou schopností pohybu a orientace. Úpravy se týkají převážně modernizace elektroinstalace, nábytku, doplnění učebních pomůcek atd. (konkrétně viz projektová dokumentace)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údaje o ochraně území podle jiných právních předpisů</w:t>
      </w:r>
    </w:p>
    <w:p>
      <w:pPr>
        <w:pStyle w:val="Normal"/>
        <w:ind w:firstLine="708"/>
        <w:jc w:val="both"/>
        <w:rPr/>
      </w:pPr>
      <w:r>
        <w:rPr/>
        <w:t>(památková rezervace, památková zóna, zvláště chráněné území, záplavové území apod.)</w:t>
      </w:r>
    </w:p>
    <w:p>
      <w:pPr>
        <w:pStyle w:val="Normal"/>
        <w:jc w:val="both"/>
        <w:rPr/>
      </w:pPr>
      <w:r>
        <w:rPr/>
        <w:tab/>
        <w:t>Stavbou dotčené pozemky nejsou předmětem ochrany území.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bookmarkStart w:id="13" w:name="_GoBack"/>
      <w:bookmarkEnd w:id="13"/>
      <w:r>
        <w:rPr>
          <w:b/>
        </w:rPr>
        <w:t>údaje o odtokových poměrech</w:t>
      </w:r>
    </w:p>
    <w:p>
      <w:pPr>
        <w:pStyle w:val="Normal"/>
        <w:ind w:left="705" w:hanging="0"/>
        <w:jc w:val="both"/>
        <w:rPr/>
      </w:pPr>
      <w:r>
        <w:rPr/>
        <w:t>Stávající odtokové poměry nebudou přístavbou ovlivněny. Jedná se pouze o dešťové vody z nové výtahové šachty, které budou svedeny dešťovým svodem a budou po povrchu odvedeny do stávajících vpustí, umístěných ve stávající spádované zpevněné ploše. Navýšení dešťovým vod je zanedbatelného rozsahu</w:t>
      </w:r>
      <w:r>
        <w:rPr/>
        <w:t>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údaje o souladu s územně plánovací dokumentací</w:t>
      </w:r>
    </w:p>
    <w:p>
      <w:pPr>
        <w:pStyle w:val="Normal"/>
        <w:ind w:firstLine="708"/>
        <w:jc w:val="both"/>
        <w:rPr>
          <w:highlight w:val="yellow"/>
        </w:rPr>
      </w:pPr>
      <w:r>
        <w:rPr/>
        <w:t>Přístavba výtahu je v souladu s územním plánem obce Plzeň, jedná se pouze o přístavbu výtahu.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údaje o souladu s územním rozhodnutím</w:t>
      </w:r>
    </w:p>
    <w:p>
      <w:pPr>
        <w:pStyle w:val="Normal"/>
        <w:ind w:firstLine="708"/>
        <w:rPr/>
      </w:pPr>
      <w:r>
        <w:rPr/>
        <w:t>Stavba nepodléhá územnímu rozhodnutí.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údaje o dodržení obecných požadavků na využití území</w:t>
      </w:r>
    </w:p>
    <w:p>
      <w:pPr>
        <w:pStyle w:val="Normal"/>
        <w:jc w:val="both"/>
        <w:rPr/>
      </w:pPr>
      <w:r>
        <w:rPr/>
        <w:tab/>
        <w:t>Byly dodrženy obecné požadavky na využití územní.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údaje o splnění požadavků dotčených orgánů</w:t>
      </w:r>
    </w:p>
    <w:p>
      <w:pPr>
        <w:pStyle w:val="Normal"/>
        <w:ind w:left="705" w:hanging="0"/>
        <w:jc w:val="both"/>
        <w:rPr/>
      </w:pPr>
      <w:r>
        <w:rPr/>
        <w:t>V projektu byly dodrženy příslušné normy a předpisy jako např. bezpečnostní, hygienické apod. Všechny požadavky dotčených orgánů byly zapracovány do projektu a jsou splněny.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seznam výjimek a úlevových řešení</w:t>
      </w:r>
    </w:p>
    <w:p>
      <w:pPr>
        <w:pStyle w:val="Normal"/>
        <w:jc w:val="both"/>
        <w:rPr/>
      </w:pPr>
      <w:r>
        <w:rPr/>
        <w:tab/>
        <w:t>Netýká se uvedené stavby.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seznam souvisejících a podmiňujících investic</w:t>
      </w:r>
    </w:p>
    <w:p>
      <w:pPr>
        <w:pStyle w:val="Normal"/>
        <w:ind w:left="708" w:hanging="0"/>
        <w:jc w:val="both"/>
        <w:rPr/>
      </w:pPr>
      <w:r>
        <w:rPr/>
        <w:t>Stavba si nevyžádá žádné související investice. Z hlediska časových vazeb se nevyskytují významné podmínky výstavby.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</w:rPr>
      </w:pPr>
      <w:r>
        <w:rPr>
          <w:b/>
        </w:rPr>
        <w:t>seznam pozemků a staveb dotčených prováděním stavby</w:t>
      </w:r>
    </w:p>
    <w:p>
      <w:pPr>
        <w:pStyle w:val="Normal"/>
        <w:ind w:firstLine="708"/>
        <w:jc w:val="both"/>
        <w:rPr/>
      </w:pPr>
      <w:r>
        <w:rPr/>
        <w:t>(podle katastru nemovitostí)</w:t>
      </w:r>
    </w:p>
    <w:p>
      <w:pPr>
        <w:pStyle w:val="Normal"/>
        <w:ind w:firstLine="708"/>
        <w:jc w:val="both"/>
        <w:rPr/>
      </w:pPr>
      <w:r>
        <w:rPr/>
        <w:t>Parcelní číslo 6014/1 – zastavěná plocha a nádvoří</w:t>
      </w:r>
    </w:p>
    <w:p>
      <w:pPr>
        <w:pStyle w:val="Normal"/>
        <w:ind w:firstLine="708"/>
        <w:jc w:val="both"/>
        <w:rPr/>
      </w:pPr>
      <w:r>
        <w:rPr/>
        <w:t>Katastrální území Plzeň (721981)</w:t>
      </w:r>
    </w:p>
    <w:p>
      <w:pPr>
        <w:pStyle w:val="Normal"/>
        <w:ind w:firstLine="708"/>
        <w:jc w:val="both"/>
        <w:rPr/>
      </w:pPr>
      <w:r>
        <w:rPr/>
        <w:t>Vlastník: Statutární město Plzeň</w:t>
      </w:r>
    </w:p>
    <w:p>
      <w:pPr>
        <w:pStyle w:val="Normal"/>
        <w:ind w:firstLine="708"/>
        <w:jc w:val="both"/>
        <w:rPr/>
      </w:pPr>
      <w:r>
        <w:rPr/>
        <w:t>Objednatel: Obchodní akademie Plzeň</w:t>
      </w:r>
    </w:p>
    <w:p>
      <w:pPr>
        <w:pStyle w:val="Normal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adpis2"/>
        <w:numPr>
          <w:ilvl w:val="1"/>
          <w:numId w:val="1"/>
        </w:numPr>
        <w:rPr/>
      </w:pPr>
      <w:bookmarkStart w:id="14" w:name="_Toc479271592"/>
      <w:bookmarkEnd w:id="14"/>
      <w:r>
        <w:rPr/>
        <w:t>Údaje o stavbě</w:t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nová stavba nebo změna dokončené stavby</w:t>
      </w:r>
    </w:p>
    <w:p>
      <w:pPr>
        <w:pStyle w:val="Normal"/>
        <w:rPr/>
      </w:pPr>
      <w:r>
        <w:rPr/>
        <w:tab/>
        <w:t>Jedná se o přístavbu výtahu a rekonstrukce několika učeben a kabinetů a návrh nového wc pro osoby se sníženou schopností pohybu a orientace.</w:t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účel užívání stavby</w:t>
      </w:r>
    </w:p>
    <w:p>
      <w:pPr>
        <w:pStyle w:val="Normal"/>
        <w:ind w:left="708" w:hanging="0"/>
        <w:rPr/>
      </w:pPr>
      <w:r>
        <w:rPr/>
        <w:t>Jedná se o přístavbu výtahové šachty zajišťující bezbariérové užívání všech nadzemních pater obchodní akademie a úpravy/rekonstrukce a modernizace tří učeben a několika kabinetů. Dále je navržena nová toaleta pro osoby se sníženou schopností pohybu a orientace. Úpravy se týkají převážně modernizace elektroinstalace, nábytku, doplnění učebních pomůcek atd. (konkrétně viz projektová dokumentace)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trvalá nebo dočasná stavba</w:t>
      </w:r>
    </w:p>
    <w:p>
      <w:pPr>
        <w:pStyle w:val="Normal"/>
        <w:rPr/>
      </w:pPr>
      <w:r>
        <w:rPr/>
        <w:tab/>
        <w:t>Stavba bude trvalá.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údaje o ochraně stavby podle jiných právních předpisů (kulturní památka apod.)</w:t>
      </w:r>
    </w:p>
    <w:p>
      <w:pPr>
        <w:pStyle w:val="Normal"/>
        <w:rPr/>
      </w:pPr>
      <w:r>
        <w:rPr/>
        <w:tab/>
        <w:t>Netýká se uvedené stavby.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údaje o dodržení technických požadavků na stavby a obecných technických požadavků zabezpečujících bezbariérové užívání staveb</w:t>
      </w:r>
    </w:p>
    <w:p>
      <w:pPr>
        <w:pStyle w:val="Normal"/>
        <w:ind w:left="705" w:hanging="0"/>
        <w:rPr/>
      </w:pPr>
      <w:r>
        <w:rPr/>
        <w:t>Při zpracování projektové dokumentace byly dodrženy obecné požadavky na stavby dle vyhlášky č. 268/2009 Sb. a obecné technické požadavky zabezpečující bezbariérové užívání staveb dle vyhlášky č. 398/2009 Sb.</w:t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údaje o splnění požadavků dotčených orgánů a požadavků vyplývajících z jiných právních předpisů</w:t>
      </w:r>
    </w:p>
    <w:p>
      <w:pPr>
        <w:pStyle w:val="Normal"/>
        <w:rPr/>
      </w:pPr>
      <w:r>
        <w:rPr/>
        <w:tab/>
        <w:t>Požadavky dotčených orgánů byly zapracovány do projektové dokumentace.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>seznam výjimek a úlevových řešení</w:t>
      </w:r>
    </w:p>
    <w:p>
      <w:pPr>
        <w:pStyle w:val="Normal"/>
        <w:rPr/>
      </w:pPr>
      <w:r>
        <w:rPr/>
        <w:tab/>
        <w:t>Netýká se uvedené stavby.</w:t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ListParagraph"/>
        <w:numPr>
          <w:ilvl w:val="0"/>
          <w:numId w:val="4"/>
        </w:numPr>
        <w:rPr>
          <w:b/>
          <w:b/>
        </w:rPr>
      </w:pPr>
      <w:r>
        <w:rPr>
          <w:b/>
        </w:rPr>
        <w:t xml:space="preserve">navrhované kapacity stavby </w:t>
      </w:r>
    </w:p>
    <w:p>
      <w:pPr>
        <w:pStyle w:val="Normal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firstLine="708"/>
        <w:rPr>
          <w:u w:val="single"/>
        </w:rPr>
      </w:pPr>
      <w:r>
        <w:rPr>
          <w:u w:val="single"/>
        </w:rPr>
        <w:t>Přístavba výtahové šachty:</w:t>
      </w:r>
    </w:p>
    <w:p>
      <w:pPr>
        <w:pStyle w:val="Normal"/>
        <w:ind w:left="708" w:hanging="0"/>
        <w:rPr>
          <w:vertAlign w:val="superscript"/>
        </w:rPr>
      </w:pPr>
      <w:r>
        <w:rPr/>
        <w:t>Zastavěná plocha 3,87 m</w:t>
      </w:r>
      <w:r>
        <w:rPr>
          <w:vertAlign w:val="superscript"/>
        </w:rPr>
        <w:t>2</w:t>
      </w:r>
    </w:p>
    <w:p>
      <w:pPr>
        <w:pStyle w:val="Normal"/>
        <w:ind w:left="708" w:hanging="0"/>
        <w:rPr/>
      </w:pPr>
      <w:r>
        <w:rPr/>
        <w:t>Obestavěný prostor 90 m</w:t>
      </w:r>
      <w:r>
        <w:rPr>
          <w:vertAlign w:val="superscript"/>
        </w:rPr>
        <w:t>3</w:t>
      </w:r>
    </w:p>
    <w:p>
      <w:pPr>
        <w:pStyle w:val="Normal"/>
        <w:ind w:firstLine="708"/>
        <w:rPr/>
      </w:pPr>
      <w:r>
        <w:rPr/>
        <w:t>Počet pater 5 nástupních rovin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4"/>
        </w:numPr>
        <w:jc w:val="both"/>
        <w:rPr>
          <w:b/>
          <w:b/>
        </w:rPr>
      </w:pPr>
      <w:r>
        <w:rPr>
          <w:b/>
        </w:rPr>
        <w:t>základní bilance stavby (potřeby a spotřeby médií a hmot, hospodaření s dešťovou vodou, celkové produkované množství a druhy odpadů a emisí, třída energetické náročnosti budov apod.),</w:t>
      </w:r>
    </w:p>
    <w:p>
      <w:pPr>
        <w:pStyle w:val="Normal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firstLine="708"/>
        <w:jc w:val="both"/>
        <w:rPr>
          <w:b/>
          <w:b/>
        </w:rPr>
      </w:pPr>
      <w:r>
        <w:rPr>
          <w:b/>
        </w:rPr>
        <w:t>Splaškové vody:</w:t>
      </w:r>
    </w:p>
    <w:p>
      <w:pPr>
        <w:pStyle w:val="Normal"/>
        <w:ind w:firstLine="708"/>
        <w:jc w:val="both"/>
        <w:rPr/>
      </w:pPr>
      <w:r>
        <w:rPr/>
        <w:t xml:space="preserve">Nově bude navíc produkováno jen malé množství splaškových vod z nově navrženého wc pro osoby se sníženou schopností pohybu a orientace. Toto množství nebude mít vliv na stávající odvod splaškových vod. Napojení zařizovacích předmětů je do stávající vnitřní kanalizace – napojení do stávající stoupačky kanalizačního potrubí. </w:t>
      </w:r>
    </w:p>
    <w:p>
      <w:pPr>
        <w:pStyle w:val="Normal"/>
        <w:ind w:firstLine="708"/>
        <w:jc w:val="both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ind w:firstLine="708"/>
        <w:jc w:val="both"/>
        <w:rPr>
          <w:b/>
          <w:b/>
        </w:rPr>
      </w:pPr>
      <w:r>
        <w:rPr>
          <w:b/>
        </w:rPr>
        <w:t>Dešťová voda:</w:t>
      </w:r>
    </w:p>
    <w:p>
      <w:pPr>
        <w:pStyle w:val="Normal"/>
        <w:ind w:firstLine="708"/>
        <w:jc w:val="both"/>
        <w:rPr/>
      </w:pPr>
      <w:r>
        <w:rPr/>
        <w:t>Dešťové vody z nové výtahové šachty budou svedeny dešťovým svodem a budou po povrchu odvedeny do stávajících vpustí, umístěných ve stávající spádované zpevněné ploše. Navýšení dešťovým vod je zanedbatelného rozsahu.</w:t>
      </w:r>
    </w:p>
    <w:p>
      <w:pPr>
        <w:pStyle w:val="Normal"/>
        <w:ind w:firstLine="708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firstLine="708"/>
        <w:jc w:val="both"/>
        <w:rPr>
          <w:b/>
          <w:b/>
        </w:rPr>
      </w:pPr>
      <w:r>
        <w:rPr>
          <w:b/>
        </w:rPr>
        <w:t>Zásobování vodou</w:t>
      </w:r>
    </w:p>
    <w:p>
      <w:pPr>
        <w:pStyle w:val="Normal"/>
        <w:ind w:firstLine="708"/>
        <w:jc w:val="both"/>
        <w:rPr/>
      </w:pPr>
      <w:r>
        <w:rPr/>
        <w:t>V rámci stavebních úprav dojde k výměně některých zařizovacích předmětů. Nově je navržena toaleta pro osoby se sníženou schopností pohybu a orientace. Navržené úpravy nevyžadují nové řešení zásobování vodou, napojení je na rozvody stávající.</w:t>
      </w:r>
    </w:p>
    <w:p>
      <w:pPr>
        <w:pStyle w:val="Normal"/>
        <w:ind w:firstLine="708"/>
        <w:rPr>
          <w:b/>
          <w:b/>
          <w:szCs w:val="20"/>
          <w:highlight w:val="yellow"/>
        </w:rPr>
      </w:pPr>
      <w:r>
        <w:rPr>
          <w:b/>
          <w:szCs w:val="20"/>
          <w:highlight w:val="yellow"/>
        </w:rPr>
      </w:r>
    </w:p>
    <w:p>
      <w:pPr>
        <w:pStyle w:val="Normal"/>
        <w:ind w:firstLine="708"/>
        <w:rPr>
          <w:b/>
          <w:b/>
          <w:szCs w:val="20"/>
        </w:rPr>
      </w:pPr>
      <w:r>
        <w:rPr>
          <w:b/>
          <w:szCs w:val="20"/>
        </w:rPr>
        <w:t>Měrná potřeba tepla na vytápění</w:t>
      </w:r>
    </w:p>
    <w:p>
      <w:pPr>
        <w:pStyle w:val="Normal"/>
        <w:ind w:firstLine="708"/>
        <w:jc w:val="both"/>
        <w:rPr>
          <w:szCs w:val="20"/>
        </w:rPr>
      </w:pPr>
      <w:r>
        <w:rPr>
          <w:szCs w:val="20"/>
        </w:rPr>
        <w:t>Navržené úpravy nevyžadují řešení vytápění prostor. V kabinetu jazyků bude pouze vyměněno otopné těleso, za těleso větší.</w:t>
      </w:r>
    </w:p>
    <w:p>
      <w:pPr>
        <w:pStyle w:val="Normal"/>
        <w:ind w:firstLine="708"/>
        <w:jc w:val="both"/>
        <w:rPr>
          <w:szCs w:val="20"/>
          <w:highlight w:val="yellow"/>
        </w:rPr>
      </w:pPr>
      <w:r>
        <w:rPr>
          <w:szCs w:val="20"/>
          <w:highlight w:val="yellow"/>
        </w:rPr>
      </w:r>
    </w:p>
    <w:p>
      <w:pPr>
        <w:pStyle w:val="Normal"/>
        <w:ind w:firstLine="708"/>
        <w:jc w:val="both"/>
        <w:rPr>
          <w:b/>
          <w:b/>
          <w:szCs w:val="20"/>
        </w:rPr>
      </w:pPr>
      <w:r>
        <w:rPr>
          <w:b/>
          <w:szCs w:val="20"/>
        </w:rPr>
        <w:t>Celkové produkované množství a druhy odpadů a emisí</w:t>
      </w:r>
    </w:p>
    <w:p>
      <w:pPr>
        <w:pStyle w:val="Normal"/>
        <w:ind w:firstLine="708"/>
        <w:jc w:val="both"/>
        <w:rPr>
          <w:szCs w:val="20"/>
        </w:rPr>
      </w:pPr>
      <w:r>
        <w:rPr>
          <w:szCs w:val="20"/>
        </w:rPr>
        <w:t xml:space="preserve">Odpady a způsob jejich likvidace během provádění stavby jsou ve formě tabulek zařazeny v následující části tohoto textu. </w:t>
      </w:r>
    </w:p>
    <w:p>
      <w:pPr>
        <w:pStyle w:val="Normal"/>
        <w:ind w:firstLine="708"/>
        <w:jc w:val="both"/>
        <w:rPr>
          <w:szCs w:val="20"/>
        </w:rPr>
      </w:pPr>
      <w:r>
        <w:rPr>
          <w:szCs w:val="20"/>
        </w:rPr>
        <w:t>Vzhledem ke kategorizaci odpadů (vyhláška MŽP. 381/2001 Sb. ve znění vyhlášky 503/2004 Sb.) je možno odpady rozdělit na odpady vzniklé během stavby a na odpady vznikající během vlastního provozu stavby.</w:t>
      </w:r>
    </w:p>
    <w:p>
      <w:pPr>
        <w:pStyle w:val="Normal"/>
        <w:ind w:firstLine="708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/>
      </w:pPr>
      <w:r>
        <w:rPr/>
        <w:t>Odpady během stavby</w:t>
      </w:r>
    </w:p>
    <w:p>
      <w:pPr>
        <w:pStyle w:val="Normal"/>
        <w:jc w:val="both"/>
        <w:rPr>
          <w:rFonts w:ascii="Bookman Old Style" w:hAnsi="Bookman Old Style"/>
          <w:b/>
          <w:b/>
        </w:rPr>
      </w:pPr>
      <w:r>
        <w:rPr>
          <w:rFonts w:ascii="Bookman Old Style" w:hAnsi="Bookman Old Style"/>
          <w:b/>
        </w:rPr>
      </w:r>
    </w:p>
    <w:tbl>
      <w:tblPr>
        <w:tblW w:w="9672" w:type="dxa"/>
        <w:jc w:val="left"/>
        <w:tblInd w:w="-12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83" w:type="dxa"/>
          <w:bottom w:w="0" w:type="dxa"/>
          <w:right w:w="0" w:type="dxa"/>
        </w:tblCellMar>
        <w:tblLook w:val="0000"/>
      </w:tblPr>
      <w:tblGrid>
        <w:gridCol w:w="1541"/>
        <w:gridCol w:w="1275"/>
        <w:gridCol w:w="4265"/>
        <w:gridCol w:w="2590"/>
      </w:tblGrid>
      <w:tr>
        <w:trPr/>
        <w:tc>
          <w:tcPr>
            <w:tcW w:w="154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themeFill="background1" w:themeFillShade="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>KÓD ODPADU</w:t>
            </w:r>
          </w:p>
        </w:tc>
        <w:tc>
          <w:tcPr>
            <w:tcW w:w="12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themeFill="background1" w:themeFillShade="d9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KATEGORIE</w:t>
            </w:r>
          </w:p>
        </w:tc>
        <w:tc>
          <w:tcPr>
            <w:tcW w:w="42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themeFill="background1" w:themeFillShade="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  <w:t>NÁZEV DRUHU ODPADU</w:t>
            </w:r>
          </w:p>
        </w:tc>
        <w:tc>
          <w:tcPr>
            <w:tcW w:w="259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themeFill="background1" w:themeFillShade="d9" w:val="clear"/>
            <w:tcMar>
              <w:left w:w="83" w:type="dxa"/>
            </w:tcMar>
          </w:tcPr>
          <w:p>
            <w:pPr>
              <w:pStyle w:val="Normal"/>
              <w:rPr/>
            </w:pPr>
            <w:r>
              <w:rPr/>
              <w:t>ZPŮSOB NAKLÁDÁNÍ</w:t>
            </w:r>
          </w:p>
        </w:tc>
      </w:tr>
      <w:tr>
        <w:trPr/>
        <w:tc>
          <w:tcPr>
            <w:tcW w:w="154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15 01</w:t>
            </w:r>
          </w:p>
        </w:tc>
        <w:tc>
          <w:tcPr>
            <w:tcW w:w="127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2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Obaly (včetně odděleně sbíraného komunálního obalového odpadu)</w:t>
            </w:r>
          </w:p>
        </w:tc>
        <w:tc>
          <w:tcPr>
            <w:tcW w:w="2590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15 01 01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Papírové a lepenkové obaly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15 01 02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Plastové obaly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15 01 03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Dřevěné obaly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znovuvyužití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15 01 04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Kovové obaly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15 01 07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Skleněné obaly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recyklace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 xml:space="preserve">Stavební a demoliční odpady 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17 01 01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Beton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recyklace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17 01 02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Cihly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recyklace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17 01 03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Tašky a keramické výrobky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recyklace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17 01 06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Směsi nebo oddělené frakce betonu, cihel, tašek a keramických výrobků obsahující nebezpečné látky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17 01 07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Směsi nebo oddělené frakce betonu, cihel, tašek a keramických výrobků neuvedené pod číslem 17 01 06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recyklace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17 02 01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Dřevo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Skládka, event. znovuvyužití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17 02 02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Sklo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17 02 03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Plasty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17 03 01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Asfaltové směsi obsahující dehet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17 04 01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Měď, bronz, mosaz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17 04 02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Hliník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17 04 03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Olovo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17 04 04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Zinek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17 04 05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Železo a ocel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Sběrné suroviny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17 04 10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Kabely obsahující ropné látky, uhelný dehet a jiné nebezpečné látky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17 04 11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Kabely neuvedené pod 17 04 10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Specializovaná firma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17 08 02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 xml:space="preserve">Stavební materiály na bázi sádry 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</w:t>
            </w:r>
          </w:p>
        </w:tc>
      </w:tr>
      <w:tr>
        <w:trPr/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17 09 04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O</w:t>
            </w:r>
          </w:p>
        </w:tc>
        <w:tc>
          <w:tcPr>
            <w:tcW w:w="4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 xml:space="preserve">Směsné stavební a demoliční odpady </w:t>
            </w:r>
          </w:p>
        </w:tc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Skládka</w:t>
            </w:r>
          </w:p>
        </w:tc>
      </w:tr>
    </w:tbl>
    <w:p>
      <w:pPr>
        <w:pStyle w:val="Normal"/>
        <w:ind w:firstLine="708"/>
        <w:jc w:val="both"/>
        <w:rPr>
          <w:rFonts w:ascii="Bookman Old Style" w:hAnsi="Bookman Old Style" w:cs="Bookman Old Style"/>
        </w:rPr>
      </w:pPr>
      <w:r>
        <w:rPr>
          <w:rFonts w:cs="Bookman Old Style" w:ascii="Bookman Old Style" w:hAnsi="Bookman Old Style"/>
        </w:rPr>
      </w:r>
    </w:p>
    <w:p>
      <w:pPr>
        <w:pStyle w:val="Normal"/>
        <w:ind w:firstLine="708"/>
        <w:jc w:val="both"/>
        <w:rPr/>
      </w:pPr>
      <w:r>
        <w:rPr/>
        <w:t>V objektu během užívání stavby bude vznikat pouze komunální odpad. Majitel objektu uzavře smlouvu se specializovanou firmou. Kontejnery budou umístěny na pozemku investora.</w:t>
      </w:r>
    </w:p>
    <w:p>
      <w:pPr>
        <w:pStyle w:val="Normal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firstLine="708"/>
        <w:jc w:val="both"/>
        <w:rPr/>
      </w:pPr>
      <w:r>
        <w:rPr>
          <w:b/>
        </w:rPr>
        <w:t>Stanovení třídy energetické náročnosti budovy</w:t>
      </w:r>
    </w:p>
    <w:p>
      <w:pPr>
        <w:pStyle w:val="Normal"/>
        <w:ind w:firstLine="708"/>
        <w:jc w:val="both"/>
        <w:rPr/>
      </w:pPr>
      <w:r>
        <w:rPr/>
        <w:t>Jedná se pouze o přístavbu výtahu a o modernizace učeben a kabinetů, není tedy třeba stanovovat třídu energetické náročnosti budovy.</w:t>
      </w:r>
    </w:p>
    <w:p>
      <w:pPr>
        <w:pStyle w:val="Normal"/>
        <w:jc w:val="both"/>
        <w:rPr>
          <w:rFonts w:ascii="Bookman Old Style" w:hAnsi="Bookman Old Style" w:cs="Bookman Old Style"/>
        </w:rPr>
      </w:pPr>
      <w:r>
        <w:rPr>
          <w:rFonts w:cs="Bookman Old Style" w:ascii="Bookman Old Style" w:hAnsi="Bookman Old Style"/>
        </w:rPr>
      </w:r>
    </w:p>
    <w:p>
      <w:pPr>
        <w:pStyle w:val="ListParagraph"/>
        <w:numPr>
          <w:ilvl w:val="0"/>
          <w:numId w:val="4"/>
        </w:numPr>
        <w:jc w:val="both"/>
        <w:rPr>
          <w:b/>
          <w:b/>
        </w:rPr>
      </w:pPr>
      <w:bookmarkStart w:id="15" w:name="f5011627"/>
      <w:bookmarkEnd w:id="15"/>
      <w:r>
        <w:rPr>
          <w:b/>
        </w:rPr>
        <w:t>základní předpoklady výstavby (časové údaje o realizaci stavby, členění na etapy)</w:t>
      </w:r>
    </w:p>
    <w:p>
      <w:pPr>
        <w:pStyle w:val="Normal"/>
        <w:jc w:val="both"/>
        <w:rPr/>
      </w:pPr>
      <w:r>
        <w:rPr>
          <w:rFonts w:cs="Bookman Old Style"/>
        </w:rPr>
        <w:tab/>
        <w:t>Zahájení stavby je předpokládáno po vydání platného stavebního povolení, doba výstavby cca 1 až 2 měsíce.</w:t>
      </w:r>
    </w:p>
    <w:p>
      <w:pPr>
        <w:pStyle w:val="Normal"/>
        <w:ind w:firstLine="708"/>
        <w:jc w:val="both"/>
        <w:rPr>
          <w:rFonts w:cs="Bookman Old Style"/>
        </w:rPr>
      </w:pPr>
      <w:r>
        <w:rPr/>
        <w:t>Stavba nebude členěna na jednotlivé objekty.</w:t>
      </w:r>
    </w:p>
    <w:p>
      <w:pPr>
        <w:pStyle w:val="Normal"/>
        <w:jc w:val="both"/>
        <w:rPr>
          <w:rFonts w:cs="Bookman Old Style"/>
          <w:highlight w:val="yellow"/>
        </w:rPr>
      </w:pPr>
      <w:r>
        <w:rPr>
          <w:rFonts w:cs="Bookman Old Style"/>
          <w:highlight w:val="yellow"/>
        </w:rPr>
      </w:r>
    </w:p>
    <w:p>
      <w:pPr>
        <w:pStyle w:val="ListParagraph"/>
        <w:numPr>
          <w:ilvl w:val="0"/>
          <w:numId w:val="4"/>
        </w:numPr>
        <w:jc w:val="both"/>
        <w:rPr>
          <w:rFonts w:cs="Bookman Old Style"/>
          <w:b/>
          <w:b/>
        </w:rPr>
      </w:pPr>
      <w:bookmarkStart w:id="16" w:name="f5011628"/>
      <w:bookmarkEnd w:id="16"/>
      <w:r>
        <w:rPr>
          <w:rFonts w:cs="Bookman Old Style"/>
          <w:b/>
        </w:rPr>
        <w:t>orientační náklady stavby</w:t>
      </w:r>
    </w:p>
    <w:p>
      <w:pPr>
        <w:pStyle w:val="Normal"/>
        <w:ind w:left="720" w:hanging="0"/>
        <w:jc w:val="both"/>
        <w:rPr/>
      </w:pPr>
      <w:r>
        <w:rPr>
          <w:rFonts w:cs="Bookman Old Style"/>
        </w:rPr>
        <w:t xml:space="preserve">cca </w:t>
      </w:r>
      <w:r>
        <w:rPr>
          <w:rFonts w:cs="Bookman Old Style"/>
        </w:rPr>
        <w:t>4</w:t>
      </w:r>
      <w:r>
        <w:rPr>
          <w:rFonts w:cs="Bookman Old Style"/>
        </w:rPr>
        <w:t xml:space="preserve"> mil ,-Kč</w:t>
      </w:r>
    </w:p>
    <w:p>
      <w:pPr>
        <w:pStyle w:val="Normal"/>
        <w:jc w:val="both"/>
        <w:rPr>
          <w:rFonts w:cs="Bookman Old Style"/>
          <w:highlight w:val="yellow"/>
        </w:rPr>
      </w:pPr>
      <w:r>
        <w:rPr>
          <w:rFonts w:cs="Bookman Old Style"/>
          <w:highlight w:val="yellow"/>
        </w:rPr>
      </w:r>
    </w:p>
    <w:p>
      <w:pPr>
        <w:pStyle w:val="Nadpis2"/>
        <w:numPr>
          <w:ilvl w:val="1"/>
          <w:numId w:val="1"/>
        </w:numPr>
        <w:rPr/>
      </w:pPr>
      <w:bookmarkStart w:id="17" w:name="_Toc479271593"/>
      <w:bookmarkEnd w:id="17"/>
      <w:r>
        <w:rPr/>
        <w:t>Členění stavby na objekty a technická a technologická zařízení</w:t>
      </w:r>
    </w:p>
    <w:p>
      <w:pPr>
        <w:pStyle w:val="Normal"/>
        <w:jc w:val="both"/>
        <w:rPr/>
      </w:pPr>
      <w:r>
        <w:rPr/>
        <w:tab/>
        <w:t>Stavba nebude členěna na jednotlivé objekty a neobsahuje žádná technická a technologická zařízení.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V Plzni dne 6.4.2017</w:t>
        <w:tab/>
        <w:tab/>
        <w:tab/>
        <w:tab/>
        <w:tab/>
        <w:tab/>
        <w:t>Vypracoval:</w:t>
        <w:tab/>
        <w:t>Ing. Václav Šístek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ab/>
        <w:tab/>
        <w:t>Ing. Renata Böhmová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7" w:right="1417" w:header="708" w:top="1417" w:footer="708" w:bottom="1417" w:gutter="0"/>
      <w:pgNumType w:fmt="decimal"/>
      <w:formProt w:val="false"/>
      <w:titlePg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 Narrow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50923122"/>
    </w:sdtPr>
    <w:sdtContent>
      <w:p>
        <w:pPr>
          <w:pStyle w:val="Zpat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Zpa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jc w:val="center"/>
      <w:rPr>
        <w:sz w:val="18"/>
        <w:szCs w:val="18"/>
      </w:rPr>
    </w:pPr>
    <w:r>
      <w:rPr>
        <w:sz w:val="18"/>
        <w:szCs w:val="18"/>
      </w:rPr>
    </w:r>
  </w:p>
  <w:p>
    <w:pPr>
      <w:pStyle w:val="Zpa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tabs>
        <w:tab w:val="center" w:pos="4536" w:leader="none"/>
        <w:tab w:val="right" w:pos="9072" w:leader="none"/>
        <w:tab w:val="right" w:pos="9923" w:leader="none"/>
      </w:tabs>
      <w:ind w:left="720" w:hanging="0"/>
      <w:jc w:val="right"/>
      <w:rPr>
        <w:color w:val="A6A6A6" w:themeColor="background1" w:themeShade="a6"/>
        <w:sz w:val="18"/>
        <w:szCs w:val="18"/>
      </w:rPr>
    </w:pPr>
    <w:r>
      <w:rPr>
        <w:color w:val="A6A6A6" w:themeColor="background1" w:themeShade="a6"/>
        <w:sz w:val="18"/>
        <w:szCs w:val="18"/>
      </w:rPr>
      <w:t>A Průvodní zpráva</w:t>
    </w:r>
  </w:p>
  <w:p>
    <w:pPr>
      <w:pStyle w:val="Zhlav"/>
      <w:tabs>
        <w:tab w:val="center" w:pos="4536" w:leader="none"/>
        <w:tab w:val="right" w:pos="9072" w:leader="none"/>
        <w:tab w:val="right" w:pos="9923" w:leader="none"/>
      </w:tabs>
      <w:ind w:left="720" w:hanging="0"/>
      <w:jc w:val="right"/>
      <w:rPr>
        <w:color w:val="A6A6A6" w:themeColor="background1" w:themeShade="a6"/>
        <w:sz w:val="18"/>
        <w:szCs w:val="18"/>
      </w:rPr>
    </w:pPr>
    <w:r>
      <w:rPr>
        <w:color w:val="A6A6A6" w:themeColor="background1" w:themeShade="a6"/>
        <w:sz w:val="18"/>
        <w:szCs w:val="18"/>
      </w:rPr>
      <w:t>Zajištění bezbariérového přístupu + rekonstrukce učeben v budově obchodní akademie v Plzni</w:t>
    </w:r>
  </w:p>
  <w:p>
    <w:pPr>
      <w:pStyle w:val="Zhlav"/>
      <w:tabs>
        <w:tab w:val="center" w:pos="4536" w:leader="none"/>
        <w:tab w:val="right" w:pos="9072" w:leader="none"/>
        <w:tab w:val="right" w:pos="9923" w:leader="none"/>
      </w:tabs>
      <w:ind w:left="720" w:hanging="0"/>
      <w:jc w:val="right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tabs>
        <w:tab w:val="center" w:pos="4536" w:leader="none"/>
        <w:tab w:val="right" w:pos="9072" w:leader="none"/>
        <w:tab w:val="right" w:pos="9923" w:leader="none"/>
      </w:tabs>
      <w:ind w:left="720" w:hanging="0"/>
      <w:jc w:val="right"/>
      <w:rPr>
        <w:color w:val="A6A6A6" w:themeColor="background1" w:themeShade="a6"/>
        <w:sz w:val="18"/>
        <w:szCs w:val="18"/>
      </w:rPr>
    </w:pPr>
    <w:r>
      <w:rPr>
        <w:color w:val="A6A6A6" w:themeColor="background1" w:themeShade="a6"/>
        <w:sz w:val="18"/>
        <w:szCs w:val="18"/>
      </w:rPr>
      <w:t>A Průvodní zpráva</w:t>
    </w:r>
  </w:p>
  <w:p>
    <w:pPr>
      <w:pStyle w:val="Zhlav"/>
      <w:tabs>
        <w:tab w:val="center" w:pos="4536" w:leader="none"/>
        <w:tab w:val="right" w:pos="9072" w:leader="none"/>
        <w:tab w:val="right" w:pos="9923" w:leader="none"/>
      </w:tabs>
      <w:ind w:left="720" w:hanging="0"/>
      <w:jc w:val="right"/>
      <w:rPr>
        <w:color w:val="A6A6A6" w:themeColor="background1" w:themeShade="a6"/>
        <w:sz w:val="18"/>
        <w:szCs w:val="18"/>
      </w:rPr>
    </w:pPr>
    <w:r>
      <w:rPr>
        <w:color w:val="A6A6A6" w:themeColor="background1" w:themeShade="a6"/>
        <w:sz w:val="18"/>
        <w:szCs w:val="18"/>
      </w:rPr>
      <w:t>Zajištění bezbariérového přístupu + rekonstrukce učeben v budově obchodní akademie v Plzni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Letter"/>
      <w:suff w:val="space"/>
      <w:lvlText w:val="%1."/>
      <w:lvlJc w:val="left"/>
      <w:pPr>
        <w:ind w:left="567" w:hanging="567"/>
      </w:pPr>
      <w:rPr>
        <w:sz w:val="22"/>
      </w:rPr>
    </w:lvl>
    <w:lvl w:ilvl="1">
      <w:start w:val="1"/>
      <w:numFmt w:val="decimal"/>
      <w:suff w:val="space"/>
      <w:lvlText w:val="A.%2."/>
      <w:lvlJc w:val="left"/>
      <w:pPr>
        <w:ind w:left="1134" w:hanging="850"/>
      </w:pPr>
      <w:rPr>
        <w:sz w:val="22"/>
      </w:rPr>
    </w:lvl>
    <w:lvl w:ilvl="2">
      <w:start w:val="1"/>
      <w:numFmt w:val="decimal"/>
      <w:suff w:val="space"/>
      <w:lvlText w:val="A.%2.%3."/>
      <w:lvlJc w:val="left"/>
      <w:pPr>
        <w:ind w:left="2041" w:hanging="1474"/>
      </w:pPr>
      <w:rPr>
        <w:sz w:val="22"/>
      </w:rPr>
    </w:lvl>
    <w:lvl w:ilvl="3">
      <w:start w:val="1"/>
      <w:numFmt w:val="none"/>
      <w:suff w:val="nothing"/>
      <w:lvlText w:val=".2.3. "/>
      <w:lvlJc w:val="left"/>
      <w:pPr>
        <w:ind w:left="2892" w:hanging="2041"/>
      </w:pPr>
      <w:rPr>
        <w:sz w:val="22"/>
      </w:rPr>
    </w:lvl>
    <w:lvl w:ilvl="4">
      <w:start w:val="1"/>
      <w:numFmt w:val="lowerLetter"/>
      <w:lvlText w:val="(%5)"/>
      <w:lvlJc w:val="left"/>
      <w:pPr>
        <w:tabs>
          <w:tab w:val="num" w:pos="1873"/>
        </w:tabs>
        <w:ind w:left="1703" w:hanging="0"/>
      </w:pPr>
    </w:lvl>
    <w:lvl w:ilvl="5">
      <w:start w:val="1"/>
      <w:numFmt w:val="lowerRoman"/>
      <w:lvlText w:val="(%6)"/>
      <w:lvlJc w:val="left"/>
      <w:pPr>
        <w:tabs>
          <w:tab w:val="num" w:pos="2157"/>
        </w:tabs>
        <w:ind w:left="1987" w:hanging="0"/>
      </w:pPr>
    </w:lvl>
    <w:lvl w:ilvl="6">
      <w:start w:val="1"/>
      <w:numFmt w:val="decimal"/>
      <w:lvlText w:val="%7."/>
      <w:lvlJc w:val="left"/>
      <w:pPr>
        <w:tabs>
          <w:tab w:val="num" w:pos="2441"/>
        </w:tabs>
        <w:ind w:left="2271" w:hanging="0"/>
      </w:pPr>
    </w:lvl>
    <w:lvl w:ilvl="7">
      <w:start w:val="1"/>
      <w:numFmt w:val="lowerLetter"/>
      <w:lvlText w:val="%8."/>
      <w:lvlJc w:val="left"/>
      <w:pPr>
        <w:tabs>
          <w:tab w:val="num" w:pos="2725"/>
        </w:tabs>
        <w:ind w:left="2555" w:hanging="0"/>
      </w:pPr>
    </w:lvl>
    <w:lvl w:ilvl="8">
      <w:start w:val="1"/>
      <w:numFmt w:val="lowerRoman"/>
      <w:lvlText w:val="%9."/>
      <w:lvlJc w:val="left"/>
      <w:pPr>
        <w:tabs>
          <w:tab w:val="num" w:pos="3009"/>
        </w:tabs>
        <w:ind w:left="2839" w:hanging="0"/>
      </w:pPr>
    </w:lvl>
  </w:abstractNum>
  <w:abstractNum w:abstractNumId="2">
    <w:lvl w:ilvl="0">
      <w:start w:val="1"/>
      <w:numFmt w:val="lowerLetter"/>
      <w:lvlText w:val="%1)"/>
      <w:lvlJc w:val="left"/>
      <w:pPr>
        <w:ind w:left="1211" w:hanging="360"/>
      </w:pPr>
      <w:rPr>
        <w:i w:val="false"/>
        <w:b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false"/>
  <w:compat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cs-CZ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b5786"/>
    <w:pPr>
      <w:widowControl/>
      <w:suppressAutoHyphens w:val="true"/>
      <w:bidi w:val="0"/>
      <w:spacing w:lineRule="auto" w:line="240"/>
      <w:jc w:val="left"/>
    </w:pPr>
    <w:rPr>
      <w:rFonts w:ascii="Arial Narrow" w:hAnsi="Arial Narrow" w:eastAsia="Times New Roman" w:cs="Arial"/>
      <w:color w:val="auto"/>
      <w:sz w:val="20"/>
      <w:szCs w:val="24"/>
      <w:lang w:eastAsia="zh-CN" w:val="cs-CZ" w:bidi="ar-SA"/>
    </w:rPr>
  </w:style>
  <w:style w:type="paragraph" w:styleId="Nadpis1">
    <w:name w:val="Nadpis 1"/>
    <w:basedOn w:val="Normal"/>
    <w:link w:val="Nadpis1Char"/>
    <w:uiPriority w:val="9"/>
    <w:qFormat/>
    <w:rsid w:val="00c22a91"/>
    <w:pPr>
      <w:keepNext/>
      <w:keepLines/>
      <w:spacing w:before="240" w:after="120"/>
      <w:outlineLvl w:val="0"/>
    </w:pPr>
    <w:rPr>
      <w:rFonts w:eastAsia="" w:cs="" w:cstheme="majorBidi" w:eastAsiaTheme="majorEastAsia"/>
      <w:b/>
      <w:sz w:val="24"/>
      <w:szCs w:val="32"/>
    </w:rPr>
  </w:style>
  <w:style w:type="paragraph" w:styleId="Nadpis2">
    <w:name w:val="Nadpis 2"/>
    <w:basedOn w:val="Normal"/>
    <w:link w:val="Nadpis2Char"/>
    <w:uiPriority w:val="9"/>
    <w:unhideWhenUsed/>
    <w:qFormat/>
    <w:rsid w:val="00c22a91"/>
    <w:pPr>
      <w:keepNext/>
      <w:keepLines/>
      <w:spacing w:before="120" w:after="120"/>
      <w:outlineLvl w:val="1"/>
    </w:pPr>
    <w:rPr>
      <w:rFonts w:eastAsia="" w:cs="" w:cstheme="majorBidi" w:eastAsiaTheme="majorEastAsia"/>
      <w:b/>
      <w:sz w:val="22"/>
      <w:szCs w:val="26"/>
    </w:rPr>
  </w:style>
  <w:style w:type="paragraph" w:styleId="Nadpis3">
    <w:name w:val="Nadpis 3"/>
    <w:basedOn w:val="Normal"/>
    <w:link w:val="Nadpis3Char"/>
    <w:uiPriority w:val="9"/>
    <w:semiHidden/>
    <w:unhideWhenUsed/>
    <w:qFormat/>
    <w:rsid w:val="00c22a91"/>
    <w:pPr>
      <w:keepNext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link w:val="Nadpis1"/>
    <w:uiPriority w:val="9"/>
    <w:qFormat/>
    <w:rsid w:val="00c22a91"/>
    <w:rPr>
      <w:rFonts w:ascii="Arial Narrow" w:hAnsi="Arial Narrow" w:eastAsia="" w:cs="" w:cstheme="majorBidi" w:eastAsiaTheme="majorEastAsia"/>
      <w:b/>
      <w:sz w:val="24"/>
      <w:szCs w:val="32"/>
      <w:lang w:eastAsia="zh-CN"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d0127e"/>
    <w:rPr>
      <w:rFonts w:ascii="Segoe UI" w:hAnsi="Segoe UI" w:eastAsia="Times New Roman" w:cs="Segoe UI"/>
      <w:sz w:val="18"/>
      <w:szCs w:val="18"/>
      <w:lang w:eastAsia="zh-CN"/>
    </w:rPr>
  </w:style>
  <w:style w:type="character" w:styleId="Nadpis2Char" w:customStyle="1">
    <w:name w:val="Nadpis 2 Char"/>
    <w:basedOn w:val="DefaultParagraphFont"/>
    <w:link w:val="Nadpis2"/>
    <w:uiPriority w:val="9"/>
    <w:qFormat/>
    <w:rsid w:val="00c22a91"/>
    <w:rPr>
      <w:rFonts w:ascii="Arial Narrow" w:hAnsi="Arial Narrow" w:eastAsia="" w:cs="" w:cstheme="majorBidi" w:eastAsiaTheme="majorEastAsia"/>
      <w:b/>
      <w:szCs w:val="26"/>
      <w:lang w:eastAsia="zh-CN"/>
    </w:rPr>
  </w:style>
  <w:style w:type="character" w:styleId="Nadpis3Char" w:customStyle="1">
    <w:name w:val="Nadpis 3 Char"/>
    <w:basedOn w:val="DefaultParagraphFont"/>
    <w:link w:val="Nadpis3"/>
    <w:uiPriority w:val="9"/>
    <w:semiHidden/>
    <w:qFormat/>
    <w:rsid w:val="00c22a91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zh-CN"/>
    </w:rPr>
  </w:style>
  <w:style w:type="character" w:styleId="Promnn" w:customStyle="1">
    <w:name w:val="Proměnný"/>
    <w:qFormat/>
    <w:rsid w:val="00c22a91"/>
    <w:rPr>
      <w:i/>
      <w:i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66c46"/>
    <w:rPr>
      <w:sz w:val="16"/>
      <w:szCs w:val="16"/>
    </w:rPr>
  </w:style>
  <w:style w:type="character" w:styleId="TextkomenteChar" w:customStyle="1">
    <w:name w:val="Text komentáře Char"/>
    <w:basedOn w:val="DefaultParagraphFont"/>
    <w:link w:val="Textkomente"/>
    <w:uiPriority w:val="99"/>
    <w:semiHidden/>
    <w:qFormat/>
    <w:rsid w:val="00466c46"/>
    <w:rPr>
      <w:rFonts w:ascii="Arial Narrow" w:hAnsi="Arial Narrow" w:eastAsia="Times New Roman" w:cs="Arial"/>
      <w:sz w:val="20"/>
      <w:szCs w:val="20"/>
      <w:lang w:eastAsia="zh-CN"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qFormat/>
    <w:rsid w:val="00466c46"/>
    <w:rPr>
      <w:rFonts w:ascii="Arial Narrow" w:hAnsi="Arial Narrow" w:eastAsia="Times New Roman" w:cs="Arial"/>
      <w:b/>
      <w:bCs/>
      <w:sz w:val="20"/>
      <w:szCs w:val="20"/>
      <w:lang w:eastAsia="zh-CN"/>
    </w:rPr>
  </w:style>
  <w:style w:type="character" w:styleId="Internetovodkaz">
    <w:name w:val="Internetový odkaz"/>
    <w:basedOn w:val="DefaultParagraphFont"/>
    <w:uiPriority w:val="99"/>
    <w:unhideWhenUsed/>
    <w:rsid w:val="00440ef3"/>
    <w:rPr>
      <w:color w:val="0563C1" w:themeColor="hyperlink"/>
      <w:u w:val="single"/>
    </w:rPr>
  </w:style>
  <w:style w:type="character" w:styleId="ZhlavChar" w:customStyle="1">
    <w:name w:val="Záhlaví Char"/>
    <w:basedOn w:val="DefaultParagraphFont"/>
    <w:link w:val="Zhlav"/>
    <w:uiPriority w:val="99"/>
    <w:qFormat/>
    <w:rsid w:val="001a5de7"/>
    <w:rPr>
      <w:rFonts w:ascii="Arial Narrow" w:hAnsi="Arial Narrow" w:eastAsia="Times New Roman" w:cs="Arial"/>
      <w:sz w:val="20"/>
      <w:szCs w:val="24"/>
      <w:lang w:eastAsia="zh-CN"/>
    </w:rPr>
  </w:style>
  <w:style w:type="character" w:styleId="ZpatChar" w:customStyle="1">
    <w:name w:val="Zápatí Char"/>
    <w:basedOn w:val="DefaultParagraphFont"/>
    <w:link w:val="Zpat"/>
    <w:uiPriority w:val="99"/>
    <w:qFormat/>
    <w:rsid w:val="001a5de7"/>
    <w:rPr>
      <w:rFonts w:ascii="Arial Narrow" w:hAnsi="Arial Narrow" w:eastAsia="Times New Roman" w:cs="Arial"/>
      <w:sz w:val="20"/>
      <w:szCs w:val="24"/>
      <w:lang w:eastAsia="zh-CN"/>
    </w:rPr>
  </w:style>
  <w:style w:type="character" w:styleId="ListLabel1" w:customStyle="1">
    <w:name w:val="ListLabel 1"/>
    <w:qFormat/>
    <w:rsid w:val="008a291d"/>
    <w:rPr>
      <w:sz w:val="22"/>
    </w:rPr>
  </w:style>
  <w:style w:type="character" w:styleId="ListLabel2" w:customStyle="1">
    <w:name w:val="ListLabel 2"/>
    <w:qFormat/>
    <w:rsid w:val="008a291d"/>
    <w:rPr>
      <w:b/>
      <w:i w:val="false"/>
    </w:rPr>
  </w:style>
  <w:style w:type="character" w:styleId="ListLabel3" w:customStyle="1">
    <w:name w:val="ListLabel 3"/>
    <w:qFormat/>
    <w:rsid w:val="008a291d"/>
    <w:rPr>
      <w:b/>
      <w:i w:val="false"/>
    </w:rPr>
  </w:style>
  <w:style w:type="character" w:styleId="ListLabel4" w:customStyle="1">
    <w:name w:val="ListLabel 4"/>
    <w:qFormat/>
    <w:rsid w:val="008a291d"/>
    <w:rPr>
      <w:rFonts w:eastAsia="Times New Roman" w:cs="Arial"/>
    </w:rPr>
  </w:style>
  <w:style w:type="character" w:styleId="ListLabel5" w:customStyle="1">
    <w:name w:val="ListLabel 5"/>
    <w:qFormat/>
    <w:rsid w:val="008a291d"/>
    <w:rPr>
      <w:rFonts w:cs="Courier New"/>
    </w:rPr>
  </w:style>
  <w:style w:type="character" w:styleId="ListLabel6" w:customStyle="1">
    <w:name w:val="ListLabel 6"/>
    <w:qFormat/>
    <w:rsid w:val="008a291d"/>
    <w:rPr>
      <w:rFonts w:cs="Times New Roman"/>
    </w:rPr>
  </w:style>
  <w:style w:type="character" w:styleId="Odkaznarejstk" w:customStyle="1">
    <w:name w:val="Odkaz na rejstřík"/>
    <w:qFormat/>
    <w:rsid w:val="008a291d"/>
    <w:rPr/>
  </w:style>
  <w:style w:type="character" w:styleId="ListLabel7">
    <w:name w:val="ListLabel 7"/>
    <w:qFormat/>
    <w:rPr>
      <w:sz w:val="22"/>
    </w:rPr>
  </w:style>
  <w:style w:type="character" w:styleId="ListLabel8">
    <w:name w:val="ListLabel 8"/>
    <w:qFormat/>
    <w:rPr>
      <w:b/>
      <w:i w:val="false"/>
    </w:rPr>
  </w:style>
  <w:style w:type="character" w:styleId="ListLabel9">
    <w:name w:val="ListLabel 9"/>
    <w:qFormat/>
    <w:rPr>
      <w:rFonts w:cs="Arial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Symbol"/>
    </w:rPr>
  </w:style>
  <w:style w:type="paragraph" w:styleId="Nadpis" w:customStyle="1">
    <w:name w:val="Nadpis"/>
    <w:basedOn w:val="Normal"/>
    <w:next w:val="Tlotextu"/>
    <w:qFormat/>
    <w:rsid w:val="008a291d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lotextu" w:customStyle="1">
    <w:name w:val="Tělo textu"/>
    <w:basedOn w:val="Normal"/>
    <w:rsid w:val="008a291d"/>
    <w:pPr>
      <w:spacing w:lineRule="auto" w:line="288" w:before="0" w:after="140"/>
    </w:pPr>
    <w:rPr/>
  </w:style>
  <w:style w:type="paragraph" w:styleId="Seznam">
    <w:name w:val="Seznam"/>
    <w:basedOn w:val="Tlotextu"/>
    <w:rsid w:val="008a291d"/>
    <w:pPr/>
    <w:rPr/>
  </w:style>
  <w:style w:type="paragraph" w:styleId="Popisek" w:customStyle="1">
    <w:name w:val="Popisek"/>
    <w:basedOn w:val="Normal"/>
    <w:rsid w:val="008a291d"/>
    <w:pPr>
      <w:suppressLineNumbers/>
      <w:spacing w:before="120" w:after="120"/>
    </w:pPr>
    <w:rPr>
      <w:i/>
      <w:iCs/>
      <w:sz w:val="24"/>
    </w:rPr>
  </w:style>
  <w:style w:type="paragraph" w:styleId="Rejstk" w:customStyle="1">
    <w:name w:val="Rejstřík"/>
    <w:basedOn w:val="Normal"/>
    <w:qFormat/>
    <w:rsid w:val="008a291d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c8095b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d0127e"/>
    <w:pPr/>
    <w:rPr>
      <w:rFonts w:ascii="Segoe UI" w:hAnsi="Segoe UI" w:cs="Segoe UI"/>
      <w:sz w:val="18"/>
      <w:szCs w:val="18"/>
    </w:rPr>
  </w:style>
  <w:style w:type="paragraph" w:styleId="Zkladntextodsazen21" w:customStyle="1">
    <w:name w:val="Základní text odsazený 21"/>
    <w:basedOn w:val="Normal"/>
    <w:qFormat/>
    <w:rsid w:val="009d3c07"/>
    <w:pPr>
      <w:ind w:left="360" w:firstLine="72"/>
      <w:jc w:val="both"/>
    </w:pPr>
    <w:rPr>
      <w:rFonts w:ascii="Arial" w:hAnsi="Arial"/>
      <w:sz w:val="22"/>
    </w:rPr>
  </w:style>
  <w:style w:type="paragraph" w:styleId="Annotationtext">
    <w:name w:val="annotation text"/>
    <w:basedOn w:val="Normal"/>
    <w:link w:val="TextkomenteChar"/>
    <w:uiPriority w:val="99"/>
    <w:semiHidden/>
    <w:unhideWhenUsed/>
    <w:qFormat/>
    <w:rsid w:val="00466c46"/>
    <w:pPr/>
    <w:rPr>
      <w:szCs w:val="20"/>
    </w:rPr>
  </w:style>
  <w:style w:type="paragraph" w:styleId="Annotationsubject">
    <w:name w:val="annotation subject"/>
    <w:basedOn w:val="Annotationtext"/>
    <w:link w:val="PedmtkomenteChar"/>
    <w:uiPriority w:val="99"/>
    <w:semiHidden/>
    <w:unhideWhenUsed/>
    <w:qFormat/>
    <w:rsid w:val="00466c46"/>
    <w:pPr/>
    <w:rPr>
      <w:b/>
      <w:bCs/>
    </w:rPr>
  </w:style>
  <w:style w:type="paragraph" w:styleId="Nadpisobsahu">
    <w:name w:val="Nadpis obsahu"/>
    <w:basedOn w:val="Nadpis1"/>
    <w:uiPriority w:val="39"/>
    <w:unhideWhenUsed/>
    <w:qFormat/>
    <w:rsid w:val="00217402"/>
    <w:pPr>
      <w:suppressAutoHyphens w:val="false"/>
      <w:spacing w:lineRule="auto" w:line="259" w:before="240" w:after="0"/>
    </w:pPr>
    <w:rPr>
      <w:rFonts w:ascii="Calibri Light" w:hAnsi="Calibri Light" w:asciiTheme="majorHAnsi" w:hAnsiTheme="majorHAnsi"/>
      <w:b w:val="false"/>
      <w:color w:val="2E74B5" w:themeColor="accent1" w:themeShade="bf"/>
      <w:sz w:val="32"/>
      <w:lang w:eastAsia="cs-CZ"/>
    </w:rPr>
  </w:style>
  <w:style w:type="paragraph" w:styleId="Obsah1">
    <w:name w:val="Obsah 1"/>
    <w:basedOn w:val="Normal"/>
    <w:autoRedefine/>
    <w:uiPriority w:val="39"/>
    <w:unhideWhenUsed/>
    <w:rsid w:val="00217402"/>
    <w:pPr>
      <w:spacing w:before="0" w:after="100"/>
    </w:pPr>
    <w:rPr/>
  </w:style>
  <w:style w:type="paragraph" w:styleId="Obsah2">
    <w:name w:val="Obsah 2"/>
    <w:basedOn w:val="Normal"/>
    <w:autoRedefine/>
    <w:uiPriority w:val="39"/>
    <w:unhideWhenUsed/>
    <w:rsid w:val="00217402"/>
    <w:pPr>
      <w:spacing w:before="0" w:after="100"/>
      <w:ind w:left="200" w:hanging="0"/>
    </w:pPr>
    <w:rPr/>
  </w:style>
  <w:style w:type="paragraph" w:styleId="Zhlav">
    <w:name w:val="Záhlaví"/>
    <w:basedOn w:val="Normal"/>
    <w:link w:val="ZhlavChar"/>
    <w:uiPriority w:val="99"/>
    <w:unhideWhenUsed/>
    <w:rsid w:val="001a5de7"/>
    <w:pPr>
      <w:tabs>
        <w:tab w:val="center" w:pos="4536" w:leader="none"/>
        <w:tab w:val="right" w:pos="9072" w:leader="none"/>
      </w:tabs>
    </w:pPr>
    <w:rPr/>
  </w:style>
  <w:style w:type="paragraph" w:styleId="Zpat">
    <w:name w:val="Zápatí"/>
    <w:basedOn w:val="Normal"/>
    <w:link w:val="ZpatChar"/>
    <w:uiPriority w:val="99"/>
    <w:unhideWhenUsed/>
    <w:rsid w:val="001a5de7"/>
    <w:pPr>
      <w:tabs>
        <w:tab w:val="center" w:pos="4536" w:leader="none"/>
        <w:tab w:val="right" w:pos="9072" w:leader="none"/>
      </w:tabs>
    </w:pPr>
    <w:rPr/>
  </w:style>
  <w:style w:type="paragraph" w:styleId="Quotations" w:customStyle="1">
    <w:name w:val="Quotations"/>
    <w:basedOn w:val="Normal"/>
    <w:qFormat/>
    <w:rsid w:val="008a291d"/>
    <w:pPr/>
    <w:rPr/>
  </w:style>
  <w:style w:type="paragraph" w:styleId="Nzev">
    <w:name w:val="Název"/>
    <w:basedOn w:val="Nadpis"/>
    <w:rsid w:val="008a291d"/>
    <w:pPr/>
    <w:rPr/>
  </w:style>
  <w:style w:type="paragraph" w:styleId="Podtitul">
    <w:name w:val="Podtitul"/>
    <w:basedOn w:val="Nadpis"/>
    <w:rsid w:val="008a291d"/>
    <w:pPr/>
    <w:rPr/>
  </w:style>
  <w:style w:type="numbering" w:styleId="NoList" w:default="1">
    <w:name w:val="No List"/>
    <w:uiPriority w:val="99"/>
    <w:semiHidden/>
    <w:unhideWhenUsed/>
  </w:style>
  <w:style w:type="numbering" w:styleId="Styl1" w:customStyle="1">
    <w:name w:val="Styl1"/>
    <w:uiPriority w:val="99"/>
    <w:rsid w:val="004a1f7b"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8DBE-6D6C-4640-88ED-CA649FBC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Application>LibreOffice/5.0.0.5$Windows_x86 LibreOffice_project/1b1a90865e348b492231e1c451437d7a15bb262b</Application>
  <Paragraphs>226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2017-01-08T10:15:00Z</dcterms:created>
  <dc:creator>Andrea</dc:creator>
  <dc:language>cs-CZ</dc:language>
  <cp:lastPrinted>2017-01-17T14:23:00Z</cp:lastPrinted>
  <dcterms:modified xsi:type="dcterms:W3CDTF">2017-04-07T10:14:05Z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